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25" w:rsidRPr="00D84C28" w:rsidRDefault="00530055" w:rsidP="00530055">
      <w:pPr>
        <w:jc w:val="center"/>
        <w:rPr>
          <w:rStyle w:val="lev"/>
          <w:rFonts w:cstheme="minorHAnsi"/>
          <w:sz w:val="32"/>
          <w:szCs w:val="32"/>
        </w:rPr>
      </w:pPr>
      <w:r w:rsidRPr="00D84C28">
        <w:rPr>
          <w:rStyle w:val="lev"/>
          <w:rFonts w:cstheme="minorHAnsi"/>
          <w:sz w:val="32"/>
          <w:szCs w:val="32"/>
        </w:rPr>
        <w:t>CLUB DE MINÉRALOGIE DE QUÉBEC</w:t>
      </w:r>
      <w:r w:rsidR="00110643" w:rsidRPr="00D84C28">
        <w:rPr>
          <w:rStyle w:val="lev"/>
          <w:rFonts w:cstheme="minorHAnsi"/>
          <w:sz w:val="32"/>
          <w:szCs w:val="32"/>
        </w:rPr>
        <w:t xml:space="preserve"> : </w:t>
      </w:r>
      <w:r w:rsidR="001B4D25" w:rsidRPr="00D84C28">
        <w:rPr>
          <w:rStyle w:val="lev"/>
          <w:rFonts w:cstheme="minorHAnsi"/>
          <w:sz w:val="32"/>
          <w:szCs w:val="32"/>
        </w:rPr>
        <w:t xml:space="preserve">CALENDRIER DES </w:t>
      </w:r>
      <w:r w:rsidR="00110643" w:rsidRPr="00D84C28">
        <w:rPr>
          <w:rStyle w:val="lev"/>
          <w:rFonts w:cstheme="minorHAnsi"/>
          <w:sz w:val="32"/>
          <w:szCs w:val="32"/>
        </w:rPr>
        <w:t xml:space="preserve">CONFÉRENCES </w:t>
      </w:r>
      <w:r w:rsidR="001B4D25" w:rsidRPr="00D84C28">
        <w:rPr>
          <w:rStyle w:val="lev"/>
          <w:rFonts w:cstheme="minorHAnsi"/>
          <w:sz w:val="32"/>
          <w:szCs w:val="32"/>
        </w:rPr>
        <w:t xml:space="preserve">ET </w:t>
      </w:r>
      <w:r w:rsidR="000058CA">
        <w:rPr>
          <w:rStyle w:val="lev"/>
          <w:rFonts w:cstheme="minorHAnsi"/>
          <w:sz w:val="32"/>
          <w:szCs w:val="32"/>
        </w:rPr>
        <w:t>AUTRES ACTIVITÉ</w:t>
      </w:r>
      <w:r w:rsidR="001B4D25" w:rsidRPr="00D84C28">
        <w:rPr>
          <w:rStyle w:val="lev"/>
          <w:rFonts w:cstheme="minorHAnsi"/>
          <w:sz w:val="32"/>
          <w:szCs w:val="32"/>
        </w:rPr>
        <w:t>S</w:t>
      </w:r>
    </w:p>
    <w:p w:rsidR="001B4D25" w:rsidRDefault="00110643" w:rsidP="00530055">
      <w:pPr>
        <w:jc w:val="center"/>
        <w:rPr>
          <w:rStyle w:val="lev"/>
          <w:rFonts w:cstheme="minorHAnsi"/>
          <w:sz w:val="24"/>
          <w:szCs w:val="24"/>
        </w:rPr>
      </w:pPr>
      <w:r>
        <w:rPr>
          <w:rStyle w:val="lev"/>
          <w:rFonts w:cstheme="minorHAnsi"/>
          <w:sz w:val="24"/>
          <w:szCs w:val="24"/>
        </w:rPr>
        <w:t>AUTOMNE 202</w:t>
      </w:r>
      <w:r w:rsidR="001B4D25">
        <w:rPr>
          <w:rStyle w:val="lev"/>
          <w:rFonts w:cstheme="minorHAnsi"/>
          <w:sz w:val="24"/>
          <w:szCs w:val="24"/>
        </w:rPr>
        <w:t>3</w:t>
      </w:r>
      <w:r w:rsidR="00D84C28">
        <w:rPr>
          <w:rStyle w:val="lev"/>
          <w:rFonts w:cstheme="minorHAnsi"/>
          <w:sz w:val="24"/>
          <w:szCs w:val="24"/>
        </w:rPr>
        <w:t xml:space="preserve"> et </w:t>
      </w:r>
      <w:r>
        <w:rPr>
          <w:rStyle w:val="lev"/>
          <w:rFonts w:cstheme="minorHAnsi"/>
          <w:sz w:val="24"/>
          <w:szCs w:val="24"/>
        </w:rPr>
        <w:t>HIVER 202</w:t>
      </w:r>
      <w:r w:rsidR="001B4D25">
        <w:rPr>
          <w:rStyle w:val="lev"/>
          <w:rFonts w:cstheme="minorHAnsi"/>
          <w:sz w:val="24"/>
          <w:szCs w:val="24"/>
        </w:rPr>
        <w:t>4 (</w:t>
      </w:r>
      <w:r w:rsidR="001B4D25" w:rsidRPr="00D84C28">
        <w:rPr>
          <w:rStyle w:val="lev"/>
          <w:rFonts w:cstheme="minorHAnsi"/>
          <w:sz w:val="20"/>
          <w:szCs w:val="20"/>
        </w:rPr>
        <w:t>2023.09.11</w:t>
      </w:r>
      <w:r w:rsidR="001B4D25">
        <w:rPr>
          <w:rStyle w:val="lev"/>
          <w:rFonts w:cstheme="minorHAnsi"/>
          <w:sz w:val="24"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5"/>
        <w:gridCol w:w="3715"/>
        <w:gridCol w:w="2772"/>
        <w:gridCol w:w="3103"/>
        <w:gridCol w:w="1835"/>
      </w:tblGrid>
      <w:tr w:rsidR="00530055" w:rsidRPr="00173243" w:rsidTr="007974FA">
        <w:tc>
          <w:tcPr>
            <w:tcW w:w="1525" w:type="dxa"/>
          </w:tcPr>
          <w:p w:rsidR="00530055" w:rsidRPr="00173243" w:rsidRDefault="008946BE" w:rsidP="00C27061">
            <w:pPr>
              <w:jc w:val="center"/>
              <w:rPr>
                <w:rStyle w:val="lev"/>
                <w:rFonts w:cstheme="minorHAnsi"/>
                <w:sz w:val="24"/>
                <w:szCs w:val="24"/>
              </w:rPr>
            </w:pPr>
            <w:r>
              <w:rPr>
                <w:rStyle w:val="lev"/>
                <w:rFonts w:cstheme="minorHAnsi"/>
                <w:sz w:val="24"/>
                <w:szCs w:val="24"/>
              </w:rPr>
              <w:t xml:space="preserve">, </w:t>
            </w:r>
            <w:r w:rsidR="00110643">
              <w:rPr>
                <w:rStyle w:val="lev"/>
                <w:rFonts w:cstheme="minorHAnsi"/>
                <w:sz w:val="24"/>
                <w:szCs w:val="24"/>
              </w:rPr>
              <w:t>D</w:t>
            </w:r>
            <w:r w:rsidR="00530055" w:rsidRPr="00173243">
              <w:rPr>
                <w:rStyle w:val="lev"/>
                <w:rFonts w:cstheme="minorHAnsi"/>
                <w:sz w:val="24"/>
                <w:szCs w:val="24"/>
              </w:rPr>
              <w:t>ATE</w:t>
            </w:r>
          </w:p>
        </w:tc>
        <w:tc>
          <w:tcPr>
            <w:tcW w:w="3715" w:type="dxa"/>
          </w:tcPr>
          <w:p w:rsidR="00530055" w:rsidRPr="00173243" w:rsidRDefault="00530055" w:rsidP="00C27061">
            <w:pPr>
              <w:jc w:val="center"/>
              <w:rPr>
                <w:rStyle w:val="lev"/>
                <w:rFonts w:cstheme="minorHAnsi"/>
                <w:sz w:val="24"/>
                <w:szCs w:val="24"/>
              </w:rPr>
            </w:pPr>
            <w:r w:rsidRPr="00173243">
              <w:rPr>
                <w:rStyle w:val="lev"/>
                <w:rFonts w:cstheme="minorHAnsi"/>
                <w:sz w:val="24"/>
                <w:szCs w:val="24"/>
              </w:rPr>
              <w:t>TITRE</w:t>
            </w:r>
          </w:p>
        </w:tc>
        <w:tc>
          <w:tcPr>
            <w:tcW w:w="2772" w:type="dxa"/>
          </w:tcPr>
          <w:p w:rsidR="00530055" w:rsidRPr="00173243" w:rsidRDefault="00530055" w:rsidP="00C27061">
            <w:pPr>
              <w:jc w:val="center"/>
              <w:rPr>
                <w:rStyle w:val="lev"/>
                <w:rFonts w:cstheme="minorHAnsi"/>
                <w:sz w:val="24"/>
                <w:szCs w:val="24"/>
              </w:rPr>
            </w:pPr>
            <w:r w:rsidRPr="00173243">
              <w:rPr>
                <w:rStyle w:val="lev"/>
                <w:rFonts w:cstheme="minorHAnsi"/>
                <w:sz w:val="24"/>
                <w:szCs w:val="24"/>
              </w:rPr>
              <w:t>CONFÉRENCIER</w:t>
            </w:r>
          </w:p>
        </w:tc>
        <w:tc>
          <w:tcPr>
            <w:tcW w:w="3103" w:type="dxa"/>
          </w:tcPr>
          <w:p w:rsidR="00530055" w:rsidRPr="00173243" w:rsidRDefault="00530055" w:rsidP="00C27061">
            <w:pPr>
              <w:jc w:val="center"/>
              <w:rPr>
                <w:rStyle w:val="lev"/>
                <w:rFonts w:cstheme="minorHAnsi"/>
                <w:sz w:val="24"/>
                <w:szCs w:val="24"/>
              </w:rPr>
            </w:pPr>
            <w:r w:rsidRPr="00173243">
              <w:rPr>
                <w:rStyle w:val="lev"/>
                <w:rFonts w:cstheme="minorHAnsi"/>
                <w:sz w:val="24"/>
                <w:szCs w:val="24"/>
              </w:rPr>
              <w:t>REMARQUES</w:t>
            </w:r>
          </w:p>
        </w:tc>
        <w:tc>
          <w:tcPr>
            <w:tcW w:w="1835" w:type="dxa"/>
          </w:tcPr>
          <w:p w:rsidR="00530055" w:rsidRPr="00173243" w:rsidRDefault="00530055" w:rsidP="00C27061">
            <w:pPr>
              <w:jc w:val="center"/>
              <w:rPr>
                <w:rStyle w:val="lev"/>
                <w:rFonts w:cstheme="minorHAnsi"/>
                <w:sz w:val="24"/>
                <w:szCs w:val="24"/>
              </w:rPr>
            </w:pPr>
            <w:r w:rsidRPr="00173243">
              <w:rPr>
                <w:rStyle w:val="lev"/>
                <w:rFonts w:cstheme="minorHAnsi"/>
                <w:sz w:val="24"/>
                <w:szCs w:val="24"/>
              </w:rPr>
              <w:t>RESPONSABLES</w:t>
            </w:r>
          </w:p>
        </w:tc>
      </w:tr>
      <w:tr w:rsidR="00530055" w:rsidRPr="00173243" w:rsidTr="00D84C28">
        <w:trPr>
          <w:trHeight w:val="236"/>
        </w:trPr>
        <w:tc>
          <w:tcPr>
            <w:tcW w:w="12950" w:type="dxa"/>
            <w:gridSpan w:val="5"/>
          </w:tcPr>
          <w:p w:rsidR="00530055" w:rsidRPr="00173243" w:rsidRDefault="008C442B" w:rsidP="00C27061">
            <w:pPr>
              <w:jc w:val="center"/>
              <w:rPr>
                <w:rStyle w:val="lev"/>
                <w:rFonts w:cstheme="minorHAnsi"/>
                <w:sz w:val="24"/>
                <w:szCs w:val="24"/>
              </w:rPr>
            </w:pPr>
            <w:r>
              <w:rPr>
                <w:rStyle w:val="lev"/>
                <w:rFonts w:cstheme="minorHAnsi"/>
                <w:sz w:val="24"/>
                <w:szCs w:val="24"/>
              </w:rPr>
              <w:t>2023</w:t>
            </w:r>
          </w:p>
        </w:tc>
      </w:tr>
      <w:tr w:rsidR="00530055" w:rsidRPr="00173243" w:rsidTr="007974FA">
        <w:tc>
          <w:tcPr>
            <w:tcW w:w="1525" w:type="dxa"/>
          </w:tcPr>
          <w:p w:rsidR="00530055" w:rsidRDefault="001B4D25" w:rsidP="001B4D25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Lundi, 2 oct.</w:t>
            </w:r>
            <w:r w:rsidR="00530055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</w:tcPr>
          <w:p w:rsidR="00EB2873" w:rsidRPr="00C55ED3" w:rsidRDefault="00EB2873" w:rsidP="00EB287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5ED3">
              <w:rPr>
                <w:rFonts w:cstheme="minorHAnsi"/>
                <w:b/>
                <w:bCs/>
                <w:sz w:val="24"/>
                <w:szCs w:val="24"/>
              </w:rPr>
              <w:t>Présentation du</w:t>
            </w:r>
            <w:r w:rsidR="001B4D25" w:rsidRPr="00C55ED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55ED3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1B4D25" w:rsidRPr="00C55ED3">
              <w:rPr>
                <w:rFonts w:cstheme="minorHAnsi"/>
                <w:b/>
                <w:bCs/>
                <w:sz w:val="24"/>
                <w:szCs w:val="24"/>
              </w:rPr>
              <w:t xml:space="preserve">alendrier des conférences et </w:t>
            </w:r>
            <w:r w:rsidR="00A2484B">
              <w:rPr>
                <w:rFonts w:cstheme="minorHAnsi"/>
                <w:b/>
                <w:bCs/>
                <w:sz w:val="24"/>
                <w:szCs w:val="24"/>
              </w:rPr>
              <w:t xml:space="preserve">des activités, </w:t>
            </w:r>
            <w:r w:rsidR="001B4D25" w:rsidRPr="00C55ED3">
              <w:rPr>
                <w:rFonts w:cstheme="minorHAnsi"/>
                <w:b/>
                <w:bCs/>
                <w:sz w:val="24"/>
                <w:szCs w:val="24"/>
              </w:rPr>
              <w:t>automne 2023</w:t>
            </w:r>
            <w:r w:rsidR="00A2484B">
              <w:rPr>
                <w:rFonts w:cstheme="minorHAnsi"/>
                <w:b/>
                <w:bCs/>
                <w:sz w:val="24"/>
                <w:szCs w:val="24"/>
              </w:rPr>
              <w:t xml:space="preserve"> et </w:t>
            </w:r>
            <w:r w:rsidR="001B4D25" w:rsidRPr="00C55ED3">
              <w:rPr>
                <w:rFonts w:cstheme="minorHAnsi"/>
                <w:b/>
                <w:bCs/>
                <w:sz w:val="24"/>
                <w:szCs w:val="24"/>
              </w:rPr>
              <w:t>hiver 2024</w:t>
            </w:r>
          </w:p>
          <w:p w:rsidR="00530055" w:rsidRPr="00173243" w:rsidRDefault="001B4D25" w:rsidP="00EB2873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 w:rsidRPr="00C55ED3">
              <w:rPr>
                <w:rFonts w:cstheme="minorHAnsi"/>
                <w:b/>
                <w:bCs/>
                <w:sz w:val="24"/>
                <w:szCs w:val="24"/>
              </w:rPr>
              <w:t>Conférence :</w:t>
            </w:r>
            <w:r w:rsidR="00CE337C" w:rsidRPr="00C55ED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946BE" w:rsidRPr="00A2484B">
              <w:rPr>
                <w:rFonts w:cstheme="minorHAnsi"/>
                <w:b/>
                <w:bCs/>
                <w:i/>
                <w:sz w:val="24"/>
                <w:szCs w:val="24"/>
              </w:rPr>
              <w:t>G</w:t>
            </w:r>
            <w:r w:rsidR="00A54648" w:rsidRPr="00A2484B">
              <w:rPr>
                <w:rFonts w:cstheme="minorHAnsi"/>
                <w:b/>
                <w:bCs/>
                <w:i/>
                <w:sz w:val="24"/>
                <w:szCs w:val="24"/>
              </w:rPr>
              <w:t>éologie pour les nuls :</w:t>
            </w:r>
            <w:r w:rsidR="008946BE" w:rsidRPr="00A2484B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géotourisme sur l’île de G</w:t>
            </w:r>
            <w:r w:rsidR="00A54648" w:rsidRPr="00A2484B">
              <w:rPr>
                <w:rFonts w:cstheme="minorHAnsi"/>
                <w:b/>
                <w:bCs/>
                <w:i/>
                <w:sz w:val="24"/>
                <w:szCs w:val="24"/>
              </w:rPr>
              <w:t>rand-</w:t>
            </w:r>
            <w:r w:rsidR="008946BE" w:rsidRPr="00A2484B">
              <w:rPr>
                <w:rFonts w:cstheme="minorHAnsi"/>
                <w:b/>
                <w:bCs/>
                <w:i/>
                <w:sz w:val="24"/>
                <w:szCs w:val="24"/>
              </w:rPr>
              <w:t>Manan au N</w:t>
            </w:r>
            <w:r w:rsidR="00EB2873" w:rsidRPr="00A2484B">
              <w:rPr>
                <w:rFonts w:cstheme="minorHAnsi"/>
                <w:b/>
                <w:bCs/>
                <w:i/>
                <w:sz w:val="24"/>
                <w:szCs w:val="24"/>
              </w:rPr>
              <w:t>ouveau-</w:t>
            </w:r>
            <w:r w:rsidR="008946BE" w:rsidRPr="00A2484B">
              <w:rPr>
                <w:rFonts w:cstheme="minorHAnsi"/>
                <w:b/>
                <w:bCs/>
                <w:i/>
                <w:sz w:val="24"/>
                <w:szCs w:val="24"/>
              </w:rPr>
              <w:t>B</w:t>
            </w:r>
            <w:r w:rsidR="00EB2873" w:rsidRPr="00A2484B">
              <w:rPr>
                <w:rFonts w:cstheme="minorHAnsi"/>
                <w:b/>
                <w:bCs/>
                <w:i/>
                <w:sz w:val="24"/>
                <w:szCs w:val="24"/>
              </w:rPr>
              <w:t>runswick</w:t>
            </w:r>
          </w:p>
        </w:tc>
        <w:tc>
          <w:tcPr>
            <w:tcW w:w="2772" w:type="dxa"/>
          </w:tcPr>
          <w:p w:rsidR="00530055" w:rsidRDefault="008946BE" w:rsidP="008946BE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P</w:t>
            </w:r>
            <w:r w:rsidR="005D34A4">
              <w:rPr>
                <w:rStyle w:val="lev"/>
                <w:rFonts w:cstheme="minorHAnsi"/>
                <w:b w:val="0"/>
                <w:sz w:val="24"/>
                <w:szCs w:val="24"/>
              </w:rPr>
              <w:t>ierre-</w:t>
            </w:r>
            <w:r w:rsidR="00EC7700">
              <w:rPr>
                <w:rStyle w:val="lev"/>
                <w:rFonts w:cstheme="minorHAnsi"/>
                <w:b w:val="0"/>
                <w:sz w:val="24"/>
                <w:szCs w:val="24"/>
              </w:rPr>
              <w:t>Simon Ross, INRS</w:t>
            </w:r>
          </w:p>
        </w:tc>
        <w:tc>
          <w:tcPr>
            <w:tcW w:w="3103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0055" w:rsidRPr="00173243" w:rsidRDefault="00EB2873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Éric Lamiot</w:t>
            </w:r>
          </w:p>
        </w:tc>
      </w:tr>
      <w:tr w:rsidR="00530055" w:rsidRPr="00173243" w:rsidTr="007974FA">
        <w:trPr>
          <w:trHeight w:val="752"/>
        </w:trPr>
        <w:tc>
          <w:tcPr>
            <w:tcW w:w="1525" w:type="dxa"/>
          </w:tcPr>
          <w:p w:rsidR="00530055" w:rsidRPr="00173243" w:rsidRDefault="00530055" w:rsidP="008946BE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530055" w:rsidRPr="00C55ED3" w:rsidRDefault="00530055" w:rsidP="001B4D25">
            <w:pPr>
              <w:pStyle w:val="Sansinterligne"/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530055" w:rsidRPr="00173243" w:rsidRDefault="00530055" w:rsidP="00585927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530055" w:rsidRPr="00173243" w:rsidTr="007974FA">
        <w:tc>
          <w:tcPr>
            <w:tcW w:w="1525" w:type="dxa"/>
          </w:tcPr>
          <w:p w:rsidR="00530055" w:rsidRDefault="00530055" w:rsidP="00824E0F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Samedi, </w:t>
            </w:r>
            <w:r w:rsidR="00824E0F">
              <w:rPr>
                <w:rStyle w:val="lev"/>
                <w:rFonts w:cstheme="minorHAnsi"/>
                <w:b w:val="0"/>
                <w:sz w:val="24"/>
                <w:szCs w:val="24"/>
              </w:rPr>
              <w:t>28</w:t>
            </w: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octobre</w:t>
            </w:r>
          </w:p>
        </w:tc>
        <w:tc>
          <w:tcPr>
            <w:tcW w:w="3715" w:type="dxa"/>
          </w:tcPr>
          <w:p w:rsidR="00530055" w:rsidRPr="00C55ED3" w:rsidRDefault="001B4D25" w:rsidP="00C27061">
            <w:pPr>
              <w:rPr>
                <w:rStyle w:val="lev"/>
                <w:rFonts w:cstheme="minorHAnsi"/>
                <w:sz w:val="24"/>
                <w:szCs w:val="24"/>
              </w:rPr>
            </w:pPr>
            <w:r w:rsidRPr="00C55ED3">
              <w:rPr>
                <w:rFonts w:cstheme="minorHAnsi"/>
                <w:b/>
                <w:bCs/>
                <w:sz w:val="24"/>
                <w:szCs w:val="24"/>
              </w:rPr>
              <w:t>Atelier de minéralogie et de paléontologie</w:t>
            </w:r>
          </w:p>
        </w:tc>
        <w:tc>
          <w:tcPr>
            <w:tcW w:w="2772" w:type="dxa"/>
          </w:tcPr>
          <w:p w:rsidR="00530055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0055" w:rsidRPr="00173243" w:rsidRDefault="00EB2873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Guy Guérin et Serge Légaré</w:t>
            </w:r>
          </w:p>
        </w:tc>
      </w:tr>
      <w:tr w:rsidR="00530055" w:rsidRPr="00173243" w:rsidTr="007974FA">
        <w:tc>
          <w:tcPr>
            <w:tcW w:w="1525" w:type="dxa"/>
          </w:tcPr>
          <w:p w:rsidR="00530055" w:rsidRPr="00173243" w:rsidRDefault="00E41314" w:rsidP="008C442B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Lundi, </w:t>
            </w:r>
            <w:r w:rsidR="008C442B">
              <w:rPr>
                <w:rStyle w:val="lev"/>
                <w:rFonts w:cstheme="minorHAnsi"/>
                <w:b w:val="0"/>
                <w:sz w:val="24"/>
                <w:szCs w:val="24"/>
              </w:rPr>
              <w:t>6</w:t>
            </w:r>
            <w:r w:rsidR="006A2397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</w:t>
            </w:r>
            <w:r w:rsidR="00530055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novembre </w:t>
            </w:r>
          </w:p>
        </w:tc>
        <w:tc>
          <w:tcPr>
            <w:tcW w:w="3715" w:type="dxa"/>
          </w:tcPr>
          <w:p w:rsidR="00530055" w:rsidRPr="00C55ED3" w:rsidRDefault="00DE32CF" w:rsidP="00585927">
            <w:pPr>
              <w:rPr>
                <w:rStyle w:val="lev"/>
                <w:rFonts w:cstheme="minorHAnsi"/>
                <w:sz w:val="24"/>
                <w:szCs w:val="24"/>
              </w:rPr>
            </w:pPr>
            <w:r w:rsidRPr="00DE32CF">
              <w:rPr>
                <w:rFonts w:cstheme="minorHAnsi"/>
                <w:b/>
                <w:bCs/>
                <w:sz w:val="24"/>
                <w:szCs w:val="24"/>
              </w:rPr>
              <w:t xml:space="preserve">Conférence : </w:t>
            </w:r>
            <w:r w:rsidRPr="00DE32CF">
              <w:rPr>
                <w:rFonts w:cstheme="minorHAnsi"/>
                <w:b/>
                <w:bCs/>
                <w:i/>
                <w:sz w:val="24"/>
                <w:szCs w:val="24"/>
              </w:rPr>
              <w:t>Les minéraux issus du monde vivant</w:t>
            </w:r>
          </w:p>
        </w:tc>
        <w:tc>
          <w:tcPr>
            <w:tcW w:w="2772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8C442B" w:rsidRPr="00173243" w:rsidTr="007974FA">
        <w:tc>
          <w:tcPr>
            <w:tcW w:w="1525" w:type="dxa"/>
          </w:tcPr>
          <w:p w:rsidR="008C442B" w:rsidRDefault="008C442B" w:rsidP="008C442B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8C442B" w:rsidRPr="00C55ED3" w:rsidRDefault="008C442B" w:rsidP="00585927">
            <w:pPr>
              <w:rPr>
                <w:rStyle w:val="lev"/>
                <w:rFonts w:cs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:rsidR="008C442B" w:rsidRPr="00173243" w:rsidRDefault="008C442B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8C442B" w:rsidRPr="00173243" w:rsidRDefault="008C442B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8C442B" w:rsidRPr="00173243" w:rsidRDefault="008C442B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C9788B" w:rsidRPr="00173243" w:rsidTr="007974FA">
        <w:tc>
          <w:tcPr>
            <w:tcW w:w="1525" w:type="dxa"/>
          </w:tcPr>
          <w:p w:rsidR="00C9788B" w:rsidRDefault="00C9788B" w:rsidP="008F72DC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lastRenderedPageBreak/>
              <w:t>Samedi</w:t>
            </w:r>
            <w:r w:rsidR="00C55ED3">
              <w:rPr>
                <w:rStyle w:val="lev"/>
                <w:rFonts w:cstheme="minorHAnsi"/>
                <w:b w:val="0"/>
                <w:sz w:val="24"/>
                <w:szCs w:val="24"/>
              </w:rPr>
              <w:t>,</w:t>
            </w: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</w:t>
            </w:r>
            <w:r w:rsidR="00BA74E6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4 </w:t>
            </w: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novembre</w:t>
            </w:r>
          </w:p>
        </w:tc>
        <w:tc>
          <w:tcPr>
            <w:tcW w:w="3715" w:type="dxa"/>
          </w:tcPr>
          <w:p w:rsidR="00C9788B" w:rsidRPr="00C55ED3" w:rsidRDefault="00C9788B" w:rsidP="00F6501E">
            <w:pPr>
              <w:rPr>
                <w:rStyle w:val="lev"/>
                <w:rFonts w:cstheme="minorHAnsi"/>
                <w:sz w:val="24"/>
                <w:szCs w:val="24"/>
              </w:rPr>
            </w:pPr>
            <w:r w:rsidRPr="00C55ED3">
              <w:rPr>
                <w:rStyle w:val="lev"/>
                <w:rFonts w:cstheme="minorHAnsi"/>
                <w:sz w:val="24"/>
                <w:szCs w:val="24"/>
              </w:rPr>
              <w:t>ENCAN</w:t>
            </w:r>
          </w:p>
        </w:tc>
        <w:tc>
          <w:tcPr>
            <w:tcW w:w="2772" w:type="dxa"/>
          </w:tcPr>
          <w:p w:rsidR="00C9788B" w:rsidRDefault="00C9788B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C9788B" w:rsidRDefault="00C9788B" w:rsidP="00C27061">
            <w:pPr>
              <w:rPr>
                <w:rStyle w:val="lev"/>
                <w:rFonts w:cs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:rsidR="00C9788B" w:rsidRDefault="00EB2873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Denis Villeneuve et Lise L</w:t>
            </w:r>
            <w:r w:rsidR="00CE337C">
              <w:rPr>
                <w:rStyle w:val="lev"/>
                <w:rFonts w:cstheme="minorHAnsi"/>
                <w:b w:val="0"/>
                <w:sz w:val="24"/>
                <w:szCs w:val="24"/>
              </w:rPr>
              <w:t>e</w:t>
            </w: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p</w:t>
            </w:r>
            <w:r w:rsidR="00CE337C">
              <w:rPr>
                <w:rStyle w:val="lev"/>
                <w:rFonts w:cstheme="minorHAnsi"/>
                <w:b w:val="0"/>
                <w:sz w:val="24"/>
                <w:szCs w:val="24"/>
              </w:rPr>
              <w:t>a</w:t>
            </w: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ge</w:t>
            </w:r>
          </w:p>
        </w:tc>
      </w:tr>
      <w:tr w:rsidR="00C036A4" w:rsidRPr="00173243" w:rsidTr="007974FA">
        <w:tc>
          <w:tcPr>
            <w:tcW w:w="1525" w:type="dxa"/>
          </w:tcPr>
          <w:p w:rsidR="00C036A4" w:rsidRDefault="008F72DC" w:rsidP="006A2397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18 novembre et 2 décembre</w:t>
            </w:r>
          </w:p>
        </w:tc>
        <w:tc>
          <w:tcPr>
            <w:tcW w:w="3715" w:type="dxa"/>
          </w:tcPr>
          <w:p w:rsidR="00C036A4" w:rsidRPr="00C55ED3" w:rsidRDefault="00C036A4" w:rsidP="00F6501E">
            <w:pPr>
              <w:rPr>
                <w:rStyle w:val="lev"/>
                <w:rFonts w:cstheme="minorHAnsi"/>
                <w:sz w:val="24"/>
                <w:szCs w:val="24"/>
              </w:rPr>
            </w:pPr>
            <w:r w:rsidRPr="00C55ED3">
              <w:rPr>
                <w:rStyle w:val="lev"/>
                <w:rFonts w:cstheme="minorHAnsi"/>
                <w:sz w:val="24"/>
                <w:szCs w:val="24"/>
              </w:rPr>
              <w:t>Cours Identifier des minéraux</w:t>
            </w:r>
          </w:p>
        </w:tc>
        <w:tc>
          <w:tcPr>
            <w:tcW w:w="2772" w:type="dxa"/>
          </w:tcPr>
          <w:p w:rsidR="00C036A4" w:rsidRPr="00173243" w:rsidRDefault="00C036A4" w:rsidP="00CE337C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André Laforce</w:t>
            </w:r>
            <w:r w:rsidR="008F72DC">
              <w:rPr>
                <w:rStyle w:val="lev"/>
                <w:rFonts w:cstheme="minorHAnsi"/>
                <w:b w:val="0"/>
                <w:sz w:val="24"/>
                <w:szCs w:val="24"/>
              </w:rPr>
              <w:t>, Éric</w:t>
            </w:r>
            <w:r w:rsidR="00EB2873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Lamiot</w:t>
            </w:r>
            <w:r w:rsidR="00CE337C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et </w:t>
            </w:r>
            <w:r w:rsidR="00CE337C" w:rsidRPr="00CE337C">
              <w:rPr>
                <w:rFonts w:cstheme="minorHAnsi"/>
                <w:bCs/>
                <w:sz w:val="24"/>
                <w:szCs w:val="24"/>
              </w:rPr>
              <w:t>Serge L</w:t>
            </w:r>
            <w:r w:rsidR="00CE337C">
              <w:rPr>
                <w:rFonts w:cstheme="minorHAnsi"/>
                <w:bCs/>
                <w:sz w:val="24"/>
                <w:szCs w:val="24"/>
              </w:rPr>
              <w:t>égaré</w:t>
            </w:r>
          </w:p>
        </w:tc>
        <w:tc>
          <w:tcPr>
            <w:tcW w:w="3103" w:type="dxa"/>
          </w:tcPr>
          <w:p w:rsidR="00C036A4" w:rsidRPr="00173243" w:rsidRDefault="00C036A4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C036A4" w:rsidRPr="00173243" w:rsidRDefault="00C036A4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BA74E6" w:rsidRPr="00173243" w:rsidTr="007974FA">
        <w:tc>
          <w:tcPr>
            <w:tcW w:w="1525" w:type="dxa"/>
          </w:tcPr>
          <w:p w:rsidR="00BA74E6" w:rsidRDefault="00EB2873" w:rsidP="006A2397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20, 21, 22 et</w:t>
            </w:r>
            <w:r w:rsidR="00BA74E6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23 novembre</w:t>
            </w:r>
          </w:p>
        </w:tc>
        <w:tc>
          <w:tcPr>
            <w:tcW w:w="3715" w:type="dxa"/>
          </w:tcPr>
          <w:p w:rsidR="00BA74E6" w:rsidRPr="00C55ED3" w:rsidRDefault="00D614AE" w:rsidP="00F6501E">
            <w:pPr>
              <w:rPr>
                <w:rStyle w:val="lev"/>
                <w:rFonts w:cstheme="minorHAnsi"/>
                <w:sz w:val="24"/>
                <w:szCs w:val="24"/>
              </w:rPr>
            </w:pPr>
            <w:r w:rsidRPr="00C55ED3">
              <w:rPr>
                <w:rStyle w:val="lev"/>
                <w:rFonts w:cstheme="minorHAnsi"/>
                <w:sz w:val="24"/>
                <w:szCs w:val="24"/>
              </w:rPr>
              <w:t xml:space="preserve">Salon </w:t>
            </w:r>
            <w:r w:rsidR="00BA74E6" w:rsidRPr="00C55ED3">
              <w:rPr>
                <w:rStyle w:val="lev"/>
                <w:rFonts w:cstheme="minorHAnsi"/>
                <w:sz w:val="24"/>
                <w:szCs w:val="24"/>
              </w:rPr>
              <w:t>Québec Mines</w:t>
            </w:r>
          </w:p>
        </w:tc>
        <w:tc>
          <w:tcPr>
            <w:tcW w:w="2772" w:type="dxa"/>
          </w:tcPr>
          <w:p w:rsidR="00BA74E6" w:rsidRDefault="00BA74E6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BA74E6" w:rsidRPr="00CE337C" w:rsidRDefault="00086AD4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Personne référence au </w:t>
            </w:r>
            <w:r w:rsidR="00CE337C" w:rsidRPr="00CE337C">
              <w:rPr>
                <w:rStyle w:val="lev"/>
                <w:rFonts w:cstheme="minorHAnsi"/>
                <w:b w:val="0"/>
                <w:sz w:val="24"/>
                <w:szCs w:val="24"/>
              </w:rPr>
              <w:t>MERQ</w:t>
            </w: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 : </w:t>
            </w:r>
            <w:r>
              <w:rPr>
                <w:rFonts w:cstheme="minorHAnsi"/>
                <w:bCs/>
                <w:sz w:val="24"/>
                <w:szCs w:val="24"/>
              </w:rPr>
              <w:t>Julie Gagné</w:t>
            </w:r>
          </w:p>
        </w:tc>
        <w:tc>
          <w:tcPr>
            <w:tcW w:w="1835" w:type="dxa"/>
          </w:tcPr>
          <w:p w:rsidR="00BA74E6" w:rsidRDefault="00CE337C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Éric Lamiot</w:t>
            </w:r>
          </w:p>
        </w:tc>
      </w:tr>
      <w:tr w:rsidR="00530055" w:rsidRPr="00173243" w:rsidTr="007974FA">
        <w:trPr>
          <w:trHeight w:val="1210"/>
        </w:trPr>
        <w:tc>
          <w:tcPr>
            <w:tcW w:w="1525" w:type="dxa"/>
          </w:tcPr>
          <w:p w:rsidR="00530055" w:rsidRPr="00173243" w:rsidRDefault="00E41314" w:rsidP="008C442B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Lundi, </w:t>
            </w:r>
            <w:r w:rsidR="008C442B">
              <w:rPr>
                <w:rStyle w:val="lev"/>
                <w:rFonts w:cstheme="minorHAnsi"/>
                <w:b w:val="0"/>
                <w:sz w:val="24"/>
                <w:szCs w:val="24"/>
              </w:rPr>
              <w:t>4</w:t>
            </w:r>
            <w:r w:rsidR="00530055" w:rsidRPr="00173243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décembre</w:t>
            </w:r>
          </w:p>
        </w:tc>
        <w:tc>
          <w:tcPr>
            <w:tcW w:w="3715" w:type="dxa"/>
          </w:tcPr>
          <w:p w:rsidR="00530055" w:rsidRPr="00C55ED3" w:rsidRDefault="00CE337C" w:rsidP="00CE337C">
            <w:pPr>
              <w:rPr>
                <w:rStyle w:val="lev"/>
                <w:rFonts w:cstheme="minorHAnsi"/>
                <w:sz w:val="24"/>
                <w:szCs w:val="24"/>
              </w:rPr>
            </w:pPr>
            <w:r w:rsidRPr="00C55ED3">
              <w:rPr>
                <w:rFonts w:cstheme="minorHAnsi"/>
                <w:b/>
                <w:bCs/>
                <w:sz w:val="24"/>
                <w:szCs w:val="24"/>
              </w:rPr>
              <w:t xml:space="preserve">Conférence : </w:t>
            </w:r>
            <w:r w:rsidRPr="00A2484B">
              <w:rPr>
                <w:rFonts w:cstheme="minorHAnsi"/>
                <w:b/>
                <w:bCs/>
                <w:i/>
                <w:sz w:val="24"/>
                <w:szCs w:val="24"/>
              </w:rPr>
              <w:t>L’é</w:t>
            </w:r>
            <w:r w:rsidR="00BA74E6" w:rsidRPr="00A2484B">
              <w:rPr>
                <w:rFonts w:cstheme="minorHAnsi"/>
                <w:b/>
                <w:bCs/>
                <w:i/>
                <w:sz w:val="24"/>
                <w:szCs w:val="24"/>
              </w:rPr>
              <w:t>nergie géothermique d</w:t>
            </w:r>
            <w:r w:rsidRPr="00A2484B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ans les communautés </w:t>
            </w:r>
            <w:r w:rsidR="00BA74E6" w:rsidRPr="00A2484B">
              <w:rPr>
                <w:rFonts w:cstheme="minorHAnsi"/>
                <w:b/>
                <w:bCs/>
                <w:i/>
                <w:sz w:val="24"/>
                <w:szCs w:val="24"/>
              </w:rPr>
              <w:t>nordiques isolées</w:t>
            </w:r>
          </w:p>
        </w:tc>
        <w:tc>
          <w:tcPr>
            <w:tcW w:w="2772" w:type="dxa"/>
          </w:tcPr>
          <w:p w:rsidR="00530055" w:rsidRPr="00173243" w:rsidRDefault="00096C70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 w:rsidRPr="00096C70">
              <w:rPr>
                <w:rFonts w:cstheme="minorHAnsi"/>
                <w:bCs/>
                <w:sz w:val="24"/>
                <w:szCs w:val="24"/>
              </w:rPr>
              <w:t>Raymond Jasmin</w:t>
            </w:r>
            <w:r w:rsidR="00CE337C">
              <w:rPr>
                <w:rFonts w:cstheme="minorHAnsi"/>
                <w:bCs/>
                <w:sz w:val="24"/>
                <w:szCs w:val="24"/>
              </w:rPr>
              <w:t>, INRS</w:t>
            </w:r>
          </w:p>
        </w:tc>
        <w:tc>
          <w:tcPr>
            <w:tcW w:w="3103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0055" w:rsidRPr="00173243" w:rsidRDefault="00EB2873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Éric Lamiot</w:t>
            </w:r>
          </w:p>
        </w:tc>
      </w:tr>
      <w:tr w:rsidR="008C442B" w:rsidRPr="00173243" w:rsidTr="007974FA">
        <w:trPr>
          <w:trHeight w:val="793"/>
        </w:trPr>
        <w:tc>
          <w:tcPr>
            <w:tcW w:w="1525" w:type="dxa"/>
          </w:tcPr>
          <w:p w:rsidR="008C442B" w:rsidRDefault="008C442B" w:rsidP="008C442B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8C442B" w:rsidRPr="00C55ED3" w:rsidRDefault="008C442B" w:rsidP="00550CD6">
            <w:pPr>
              <w:rPr>
                <w:rStyle w:val="lev"/>
                <w:rFonts w:cs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:rsidR="008C442B" w:rsidRPr="00173243" w:rsidRDefault="008C442B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8C442B" w:rsidRPr="00173243" w:rsidRDefault="008C442B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8C442B" w:rsidRPr="00173243" w:rsidRDefault="008C442B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530055" w:rsidRPr="00173243" w:rsidTr="00C27061">
        <w:tc>
          <w:tcPr>
            <w:tcW w:w="12950" w:type="dxa"/>
            <w:gridSpan w:val="5"/>
          </w:tcPr>
          <w:p w:rsidR="00530055" w:rsidRPr="00173243" w:rsidRDefault="00530055" w:rsidP="00C27061">
            <w:pPr>
              <w:jc w:val="center"/>
              <w:rPr>
                <w:rStyle w:val="lev"/>
                <w:rFonts w:cstheme="minorHAnsi"/>
                <w:sz w:val="24"/>
                <w:szCs w:val="24"/>
              </w:rPr>
            </w:pPr>
            <w:r>
              <w:rPr>
                <w:rStyle w:val="lev"/>
                <w:rFonts w:cstheme="minorHAnsi"/>
                <w:sz w:val="24"/>
                <w:szCs w:val="24"/>
              </w:rPr>
              <w:t>20</w:t>
            </w:r>
            <w:r w:rsidR="008C442B">
              <w:rPr>
                <w:rStyle w:val="lev"/>
                <w:rFonts w:cstheme="minorHAnsi"/>
                <w:sz w:val="24"/>
                <w:szCs w:val="24"/>
              </w:rPr>
              <w:t>24</w:t>
            </w:r>
          </w:p>
        </w:tc>
      </w:tr>
      <w:tr w:rsidR="00530055" w:rsidRPr="00173243" w:rsidTr="007974FA">
        <w:tc>
          <w:tcPr>
            <w:tcW w:w="1525" w:type="dxa"/>
          </w:tcPr>
          <w:p w:rsidR="00530055" w:rsidRDefault="00A543FC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 w:rsidRPr="00A543FC">
              <w:rPr>
                <w:rFonts w:cstheme="minorHAnsi"/>
                <w:bCs/>
                <w:sz w:val="24"/>
                <w:szCs w:val="24"/>
              </w:rPr>
              <w:t>Lundi, 8 janvier</w:t>
            </w:r>
          </w:p>
        </w:tc>
        <w:tc>
          <w:tcPr>
            <w:tcW w:w="3715" w:type="dxa"/>
          </w:tcPr>
          <w:p w:rsidR="00530055" w:rsidRPr="00C55ED3" w:rsidRDefault="00EB2873" w:rsidP="00DE32CF">
            <w:pPr>
              <w:rPr>
                <w:rStyle w:val="lev"/>
                <w:rFonts w:cstheme="minorHAnsi"/>
                <w:sz w:val="24"/>
                <w:szCs w:val="24"/>
              </w:rPr>
            </w:pPr>
            <w:r w:rsidRPr="00C55ED3">
              <w:rPr>
                <w:rStyle w:val="lev"/>
                <w:rFonts w:cstheme="minorHAnsi"/>
                <w:sz w:val="24"/>
                <w:szCs w:val="24"/>
              </w:rPr>
              <w:t>Conférence </w:t>
            </w:r>
            <w:r w:rsidRPr="00C55ED3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: </w:t>
            </w:r>
            <w:r w:rsidR="00DE32CF">
              <w:rPr>
                <w:rStyle w:val="lev"/>
                <w:rFonts w:cstheme="minorHAnsi"/>
                <w:b w:val="0"/>
                <w:sz w:val="24"/>
                <w:szCs w:val="24"/>
              </w:rPr>
              <w:t>sujet à venir</w:t>
            </w:r>
          </w:p>
        </w:tc>
        <w:tc>
          <w:tcPr>
            <w:tcW w:w="2772" w:type="dxa"/>
          </w:tcPr>
          <w:p w:rsidR="00530055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530055" w:rsidRPr="00173243" w:rsidRDefault="00530055" w:rsidP="00086AD4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530055" w:rsidRPr="00173243" w:rsidTr="007974FA">
        <w:tc>
          <w:tcPr>
            <w:tcW w:w="1525" w:type="dxa"/>
          </w:tcPr>
          <w:p w:rsidR="00530055" w:rsidRPr="00173243" w:rsidRDefault="00530055" w:rsidP="00A543FC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530055" w:rsidRPr="00C55ED3" w:rsidRDefault="00530055" w:rsidP="00A543FC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530055" w:rsidRPr="00173243" w:rsidRDefault="00530055" w:rsidP="00F6501E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530055" w:rsidRPr="00173243" w:rsidTr="007974FA">
        <w:tc>
          <w:tcPr>
            <w:tcW w:w="1525" w:type="dxa"/>
          </w:tcPr>
          <w:p w:rsidR="00530055" w:rsidRDefault="00A543FC" w:rsidP="00A543FC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Lundi, 5 </w:t>
            </w:r>
            <w:r w:rsidR="00530055">
              <w:rPr>
                <w:rStyle w:val="lev"/>
                <w:rFonts w:cstheme="minorHAnsi"/>
                <w:b w:val="0"/>
                <w:sz w:val="24"/>
                <w:szCs w:val="24"/>
              </w:rPr>
              <w:t>février</w:t>
            </w:r>
          </w:p>
        </w:tc>
        <w:tc>
          <w:tcPr>
            <w:tcW w:w="3715" w:type="dxa"/>
          </w:tcPr>
          <w:p w:rsidR="00530055" w:rsidRDefault="00530055" w:rsidP="00C27061">
            <w:pPr>
              <w:rPr>
                <w:rStyle w:val="lev"/>
                <w:rFonts w:cstheme="minorHAnsi"/>
                <w:sz w:val="24"/>
                <w:szCs w:val="24"/>
              </w:rPr>
            </w:pPr>
            <w:r w:rsidRPr="00A501F4">
              <w:rPr>
                <w:rStyle w:val="lev"/>
                <w:rFonts w:cstheme="minorHAnsi"/>
                <w:sz w:val="24"/>
                <w:szCs w:val="24"/>
              </w:rPr>
              <w:t>Assemblée générale</w:t>
            </w:r>
          </w:p>
          <w:p w:rsidR="00A501F4" w:rsidRPr="00A501F4" w:rsidRDefault="00A501F4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 w:rsidRPr="00A501F4">
              <w:rPr>
                <w:rStyle w:val="lev"/>
                <w:rFonts w:cstheme="minorHAnsi"/>
                <w:b w:val="0"/>
                <w:sz w:val="24"/>
                <w:szCs w:val="24"/>
              </w:rPr>
              <w:t>Co</w:t>
            </w:r>
            <w:r w:rsidR="00EB2873">
              <w:rPr>
                <w:rStyle w:val="lev"/>
                <w:rFonts w:cstheme="minorHAnsi"/>
                <w:b w:val="0"/>
                <w:sz w:val="24"/>
                <w:szCs w:val="24"/>
              </w:rPr>
              <w:t>urte co</w:t>
            </w:r>
            <w:r w:rsidRPr="00A501F4">
              <w:rPr>
                <w:rStyle w:val="lev"/>
                <w:rFonts w:cstheme="minorHAnsi"/>
                <w:b w:val="0"/>
                <w:sz w:val="24"/>
                <w:szCs w:val="24"/>
              </w:rPr>
              <w:t>nférence :</w:t>
            </w:r>
            <w:r w:rsidR="00EB2873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?</w:t>
            </w:r>
          </w:p>
        </w:tc>
        <w:tc>
          <w:tcPr>
            <w:tcW w:w="2772" w:type="dxa"/>
          </w:tcPr>
          <w:p w:rsidR="00530055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A543FC" w:rsidRPr="00173243" w:rsidTr="007974FA">
        <w:tc>
          <w:tcPr>
            <w:tcW w:w="1525" w:type="dxa"/>
          </w:tcPr>
          <w:p w:rsidR="00A543FC" w:rsidRDefault="00A543FC" w:rsidP="00A543FC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A543FC" w:rsidRPr="00C55ED3" w:rsidRDefault="00A543FC" w:rsidP="00C27061">
            <w:pPr>
              <w:rPr>
                <w:rStyle w:val="lev"/>
                <w:rFonts w:cs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:rsidR="00A543FC" w:rsidRDefault="00A543FC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A543FC" w:rsidRPr="00173243" w:rsidRDefault="00A543FC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A543FC" w:rsidRPr="00173243" w:rsidRDefault="00A543FC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CE337C" w:rsidRPr="00173243" w:rsidTr="007974FA">
        <w:tc>
          <w:tcPr>
            <w:tcW w:w="1525" w:type="dxa"/>
          </w:tcPr>
          <w:p w:rsidR="00CE337C" w:rsidRPr="00A543FC" w:rsidRDefault="00A2484B" w:rsidP="00A543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17 ou 24 f</w:t>
            </w:r>
            <w:r w:rsidR="00CE337C">
              <w:rPr>
                <w:rFonts w:cstheme="minorHAnsi"/>
                <w:bCs/>
                <w:sz w:val="24"/>
                <w:szCs w:val="24"/>
              </w:rPr>
              <w:t>évrier</w:t>
            </w:r>
          </w:p>
        </w:tc>
        <w:tc>
          <w:tcPr>
            <w:tcW w:w="3715" w:type="dxa"/>
          </w:tcPr>
          <w:p w:rsidR="00CE337C" w:rsidRDefault="00CE337C" w:rsidP="00C27061">
            <w:pPr>
              <w:rPr>
                <w:rStyle w:val="lev"/>
                <w:rFonts w:cstheme="minorHAnsi"/>
                <w:sz w:val="24"/>
                <w:szCs w:val="24"/>
              </w:rPr>
            </w:pPr>
            <w:r>
              <w:rPr>
                <w:rStyle w:val="lev"/>
                <w:rFonts w:cstheme="minorHAnsi"/>
                <w:sz w:val="24"/>
                <w:szCs w:val="24"/>
              </w:rPr>
              <w:t>Réunion du comité des excursions pour la saison 2024</w:t>
            </w:r>
          </w:p>
        </w:tc>
        <w:tc>
          <w:tcPr>
            <w:tcW w:w="2772" w:type="dxa"/>
          </w:tcPr>
          <w:p w:rsidR="00CE337C" w:rsidRDefault="00CE337C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CE337C" w:rsidRPr="00173243" w:rsidRDefault="00CE337C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CE337C" w:rsidRPr="00173243" w:rsidRDefault="00CE337C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530055" w:rsidRPr="00173243" w:rsidTr="007974FA">
        <w:tc>
          <w:tcPr>
            <w:tcW w:w="1525" w:type="dxa"/>
          </w:tcPr>
          <w:p w:rsidR="00530055" w:rsidRPr="00173243" w:rsidRDefault="007E6DBE" w:rsidP="00A543FC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Lundi, </w:t>
            </w:r>
            <w:r w:rsidR="00A543FC">
              <w:rPr>
                <w:rStyle w:val="lev"/>
                <w:rFonts w:cstheme="minorHAnsi"/>
                <w:b w:val="0"/>
                <w:sz w:val="24"/>
                <w:szCs w:val="24"/>
              </w:rPr>
              <w:t>4</w:t>
            </w: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</w:t>
            </w:r>
            <w:r w:rsidR="00110643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</w:t>
            </w:r>
            <w:r w:rsidR="00530055" w:rsidRPr="00173243">
              <w:rPr>
                <w:rStyle w:val="lev"/>
                <w:rFonts w:cstheme="minorHAnsi"/>
                <w:b w:val="0"/>
                <w:sz w:val="24"/>
                <w:szCs w:val="24"/>
              </w:rPr>
              <w:t>mars</w:t>
            </w:r>
          </w:p>
        </w:tc>
        <w:tc>
          <w:tcPr>
            <w:tcW w:w="3715" w:type="dxa"/>
          </w:tcPr>
          <w:p w:rsidR="00530055" w:rsidRPr="00C55ED3" w:rsidRDefault="00530055" w:rsidP="00DE32CF">
            <w:pPr>
              <w:rPr>
                <w:rStyle w:val="lev"/>
                <w:rFonts w:cstheme="minorHAnsi"/>
                <w:sz w:val="24"/>
                <w:szCs w:val="24"/>
              </w:rPr>
            </w:pPr>
            <w:r w:rsidRPr="00C55ED3">
              <w:rPr>
                <w:rStyle w:val="lev"/>
                <w:rFonts w:cstheme="minorHAnsi"/>
                <w:sz w:val="24"/>
                <w:szCs w:val="24"/>
              </w:rPr>
              <w:t xml:space="preserve">Conférence : </w:t>
            </w:r>
            <w:r w:rsidR="00C55ED3" w:rsidRPr="00C55ED3">
              <w:rPr>
                <w:rStyle w:val="lev"/>
                <w:rFonts w:cstheme="minorHAnsi"/>
                <w:sz w:val="24"/>
                <w:szCs w:val="24"/>
              </w:rPr>
              <w:t xml:space="preserve">sujet </w:t>
            </w:r>
            <w:r w:rsidR="00EB2873" w:rsidRPr="00C55ED3">
              <w:rPr>
                <w:rStyle w:val="lev"/>
                <w:rFonts w:cstheme="minorHAnsi"/>
                <w:sz w:val="24"/>
                <w:szCs w:val="24"/>
              </w:rPr>
              <w:t>à venir</w:t>
            </w:r>
            <w:r w:rsidR="007974FA">
              <w:rPr>
                <w:rStyle w:val="lev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8C442B" w:rsidRPr="00173243" w:rsidTr="007974FA">
        <w:tc>
          <w:tcPr>
            <w:tcW w:w="1525" w:type="dxa"/>
          </w:tcPr>
          <w:p w:rsidR="008C442B" w:rsidRDefault="008C442B" w:rsidP="00A543FC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8C442B" w:rsidRPr="00C55ED3" w:rsidRDefault="008C442B" w:rsidP="00F6501E">
            <w:pPr>
              <w:rPr>
                <w:rStyle w:val="lev"/>
                <w:rFonts w:cs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:rsidR="008C442B" w:rsidRPr="00173243" w:rsidRDefault="008C442B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8C442B" w:rsidRPr="00173243" w:rsidRDefault="008C442B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8C442B" w:rsidRPr="00173243" w:rsidRDefault="008C442B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530055" w:rsidRPr="00173243" w:rsidTr="007974FA">
        <w:tc>
          <w:tcPr>
            <w:tcW w:w="1525" w:type="dxa"/>
          </w:tcPr>
          <w:p w:rsidR="00530055" w:rsidRDefault="00530055" w:rsidP="00096C70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Samedi </w:t>
            </w:r>
            <w:r w:rsidR="00F6501E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et dimanche </w:t>
            </w:r>
            <w:r w:rsidR="00096C70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fin </w:t>
            </w:r>
            <w:r w:rsidR="00DF1392">
              <w:rPr>
                <w:rStyle w:val="lev"/>
                <w:rFonts w:cstheme="minorHAnsi"/>
                <w:b w:val="0"/>
                <w:sz w:val="24"/>
                <w:szCs w:val="24"/>
              </w:rPr>
              <w:t>avril</w:t>
            </w:r>
            <w:r w:rsidR="00096C70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ou début mai</w:t>
            </w:r>
          </w:p>
        </w:tc>
        <w:tc>
          <w:tcPr>
            <w:tcW w:w="3715" w:type="dxa"/>
          </w:tcPr>
          <w:p w:rsidR="00530055" w:rsidRPr="00C55ED3" w:rsidRDefault="00C9788B" w:rsidP="00CE337C">
            <w:pPr>
              <w:rPr>
                <w:rStyle w:val="lev"/>
                <w:rFonts w:cstheme="minorHAnsi"/>
                <w:sz w:val="24"/>
                <w:szCs w:val="24"/>
              </w:rPr>
            </w:pPr>
            <w:r w:rsidRPr="00C55ED3">
              <w:rPr>
                <w:rStyle w:val="lev"/>
                <w:rFonts w:cstheme="minorHAnsi"/>
                <w:sz w:val="24"/>
                <w:szCs w:val="24"/>
              </w:rPr>
              <w:t>SALON DES MINÉRAUX ET DES FOSSILES</w:t>
            </w:r>
            <w:r w:rsidR="00CE337C" w:rsidRPr="00C55ED3">
              <w:rPr>
                <w:rStyle w:val="lev"/>
                <w:rFonts w:cstheme="minorHAnsi"/>
                <w:sz w:val="24"/>
                <w:szCs w:val="24"/>
              </w:rPr>
              <w:t xml:space="preserve"> DE QUÉBEC (</w:t>
            </w:r>
            <w:r w:rsidR="00530055" w:rsidRPr="00C55ED3">
              <w:rPr>
                <w:rStyle w:val="lev"/>
                <w:rFonts w:cstheme="minorHAnsi"/>
                <w:sz w:val="24"/>
                <w:szCs w:val="24"/>
              </w:rPr>
              <w:t>Expo-vente des membres</w:t>
            </w:r>
            <w:r w:rsidR="00CE337C" w:rsidRPr="00C55ED3">
              <w:rPr>
                <w:rStyle w:val="lev"/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772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3D5B5E" w:rsidRDefault="003D5B5E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sz w:val="24"/>
                <w:szCs w:val="24"/>
              </w:rPr>
              <w:t>Date et lieu à confirmer</w:t>
            </w:r>
            <w:r w:rsidR="00CE337C">
              <w:rPr>
                <w:rStyle w:val="lev"/>
                <w:rFonts w:cstheme="minorHAnsi"/>
                <w:sz w:val="24"/>
                <w:szCs w:val="24"/>
              </w:rPr>
              <w:t xml:space="preserve"> en fonction de la programmation de la Ville</w:t>
            </w:r>
          </w:p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0055" w:rsidRPr="00173243" w:rsidRDefault="00CE337C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Denis Villeneuve</w:t>
            </w:r>
          </w:p>
        </w:tc>
      </w:tr>
      <w:tr w:rsidR="003372CE" w:rsidRPr="00173243" w:rsidTr="007974FA">
        <w:tc>
          <w:tcPr>
            <w:tcW w:w="1525" w:type="dxa"/>
          </w:tcPr>
          <w:p w:rsidR="003372CE" w:rsidRDefault="003372CE" w:rsidP="003372CE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Lundi 8 avril</w:t>
            </w:r>
          </w:p>
        </w:tc>
        <w:tc>
          <w:tcPr>
            <w:tcW w:w="3715" w:type="dxa"/>
          </w:tcPr>
          <w:p w:rsidR="003372CE" w:rsidRPr="00C55ED3" w:rsidRDefault="003372CE" w:rsidP="00DE32CF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 w:rsidRPr="00C55ED3">
              <w:rPr>
                <w:rFonts w:cstheme="minorHAnsi"/>
                <w:b/>
                <w:bCs/>
                <w:sz w:val="24"/>
                <w:szCs w:val="24"/>
              </w:rPr>
              <w:t>Conférence :</w:t>
            </w:r>
            <w:r w:rsidR="00EB2873" w:rsidRPr="00C55ED3">
              <w:rPr>
                <w:rFonts w:cstheme="minorHAnsi"/>
                <w:b/>
                <w:bCs/>
                <w:sz w:val="24"/>
                <w:szCs w:val="24"/>
              </w:rPr>
              <w:t xml:space="preserve"> à venir</w:t>
            </w:r>
            <w:r w:rsidR="007974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:rsidR="003372CE" w:rsidRPr="00173243" w:rsidRDefault="003372CE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3372CE" w:rsidRPr="00173243" w:rsidRDefault="003372CE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3372CE" w:rsidRPr="00173243" w:rsidRDefault="003372CE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3372CE" w:rsidRPr="00173243" w:rsidTr="007974FA">
        <w:tc>
          <w:tcPr>
            <w:tcW w:w="1525" w:type="dxa"/>
          </w:tcPr>
          <w:p w:rsidR="003372CE" w:rsidRDefault="003372CE" w:rsidP="003372CE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3372CE" w:rsidRPr="00C55ED3" w:rsidRDefault="003372CE" w:rsidP="00C2706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</w:tcPr>
          <w:p w:rsidR="003372CE" w:rsidRPr="00173243" w:rsidRDefault="003372CE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3372CE" w:rsidRPr="00173243" w:rsidRDefault="003372CE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3372CE" w:rsidRPr="00173243" w:rsidRDefault="003372CE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530055" w:rsidRPr="00173243" w:rsidTr="007974FA">
        <w:tc>
          <w:tcPr>
            <w:tcW w:w="1525" w:type="dxa"/>
          </w:tcPr>
          <w:p w:rsidR="00530055" w:rsidRPr="00173243" w:rsidRDefault="00110643" w:rsidP="003372CE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Lundi </w:t>
            </w:r>
            <w:r w:rsidR="003372CE">
              <w:rPr>
                <w:rStyle w:val="lev"/>
                <w:rFonts w:cstheme="minorHAnsi"/>
                <w:b w:val="0"/>
                <w:sz w:val="24"/>
                <w:szCs w:val="24"/>
              </w:rPr>
              <w:t>6</w:t>
            </w:r>
            <w:r w:rsidR="00530055" w:rsidRPr="00173243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 mai</w:t>
            </w:r>
          </w:p>
        </w:tc>
        <w:tc>
          <w:tcPr>
            <w:tcW w:w="3715" w:type="dxa"/>
          </w:tcPr>
          <w:p w:rsidR="00C55ED3" w:rsidRPr="00A2484B" w:rsidRDefault="00EB2873" w:rsidP="00C55ED3">
            <w:pPr>
              <w:spacing w:after="0"/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 w:rsidRPr="00A2484B">
              <w:rPr>
                <w:rStyle w:val="lev"/>
                <w:rFonts w:cstheme="minorHAnsi"/>
                <w:sz w:val="24"/>
                <w:szCs w:val="24"/>
              </w:rPr>
              <w:t>Présentation du c</w:t>
            </w:r>
            <w:r w:rsidR="003372CE" w:rsidRPr="00A2484B">
              <w:rPr>
                <w:rStyle w:val="lev"/>
                <w:rFonts w:cstheme="minorHAnsi"/>
                <w:sz w:val="24"/>
                <w:szCs w:val="24"/>
              </w:rPr>
              <w:t xml:space="preserve">alendrier des excursions </w:t>
            </w:r>
            <w:r w:rsidRPr="00A2484B">
              <w:rPr>
                <w:rStyle w:val="lev"/>
                <w:rFonts w:cstheme="minorHAnsi"/>
                <w:sz w:val="24"/>
                <w:szCs w:val="24"/>
              </w:rPr>
              <w:t xml:space="preserve">de la saison </w:t>
            </w:r>
            <w:r w:rsidR="003372CE" w:rsidRPr="00A2484B">
              <w:rPr>
                <w:rStyle w:val="lev"/>
                <w:rFonts w:cstheme="minorHAnsi"/>
                <w:sz w:val="24"/>
                <w:szCs w:val="24"/>
              </w:rPr>
              <w:t>2024</w:t>
            </w:r>
          </w:p>
          <w:p w:rsidR="00530055" w:rsidRPr="00173243" w:rsidRDefault="00530055" w:rsidP="00EB2873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 w:rsidRPr="00A2484B">
              <w:rPr>
                <w:rStyle w:val="lev"/>
                <w:rFonts w:cstheme="minorHAnsi"/>
                <w:sz w:val="24"/>
                <w:szCs w:val="24"/>
              </w:rPr>
              <w:t>Conférence :</w:t>
            </w:r>
            <w:r w:rsidRPr="00EB2873">
              <w:rPr>
                <w:rStyle w:val="lev"/>
                <w:rFonts w:cstheme="minorHAnsi"/>
                <w:i/>
                <w:sz w:val="24"/>
                <w:szCs w:val="24"/>
              </w:rPr>
              <w:t xml:space="preserve"> </w:t>
            </w:r>
            <w:r w:rsidR="00096C70" w:rsidRPr="00EB2873">
              <w:rPr>
                <w:rStyle w:val="lev"/>
                <w:rFonts w:cstheme="minorHAnsi"/>
                <w:i/>
                <w:sz w:val="24"/>
                <w:szCs w:val="24"/>
              </w:rPr>
              <w:t>Les grenats</w:t>
            </w:r>
          </w:p>
        </w:tc>
        <w:tc>
          <w:tcPr>
            <w:tcW w:w="2772" w:type="dxa"/>
          </w:tcPr>
          <w:p w:rsidR="00530055" w:rsidRDefault="00096C70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André Laforce</w:t>
            </w:r>
          </w:p>
          <w:p w:rsidR="00530055" w:rsidRPr="00173243" w:rsidRDefault="00530055" w:rsidP="00F6501E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0055" w:rsidRPr="00173243" w:rsidRDefault="0053005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3372CE" w:rsidRPr="00173243" w:rsidTr="007974FA">
        <w:tc>
          <w:tcPr>
            <w:tcW w:w="1525" w:type="dxa"/>
          </w:tcPr>
          <w:p w:rsidR="003372CE" w:rsidRDefault="003372CE" w:rsidP="003372CE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3372CE" w:rsidRPr="00A2484B" w:rsidRDefault="003372CE" w:rsidP="00F6501E">
            <w:pPr>
              <w:rPr>
                <w:rStyle w:val="lev"/>
                <w:rFonts w:cs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:rsidR="003372CE" w:rsidRDefault="003372CE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3372CE" w:rsidRPr="00173243" w:rsidRDefault="003372CE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3372CE" w:rsidRPr="00173243" w:rsidRDefault="003372CE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</w:tr>
      <w:tr w:rsidR="00FA6BF5" w:rsidRPr="00C55ED3" w:rsidTr="007974FA">
        <w:tc>
          <w:tcPr>
            <w:tcW w:w="1525" w:type="dxa"/>
          </w:tcPr>
          <w:p w:rsidR="00FA6BF5" w:rsidRDefault="00EB2873" w:rsidP="003372CE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</w:rPr>
              <w:t>En mai, après le salon</w:t>
            </w:r>
          </w:p>
        </w:tc>
        <w:tc>
          <w:tcPr>
            <w:tcW w:w="3715" w:type="dxa"/>
          </w:tcPr>
          <w:p w:rsidR="00FA6BF5" w:rsidRPr="00DE32CF" w:rsidRDefault="00FA6BF5" w:rsidP="00DE32CF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  <w:r w:rsidRPr="00DE32CF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3C3FFF" w:rsidRPr="00DE32CF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DE32CF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3C3FFF" w:rsidRPr="00DE32CF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DE32CF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DE32C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E32CF" w:rsidRPr="00DE32CF">
              <w:rPr>
                <w:rFonts w:cstheme="minorHAnsi"/>
                <w:bCs/>
                <w:sz w:val="24"/>
                <w:szCs w:val="24"/>
              </w:rPr>
              <w:t xml:space="preserve">(minéraux de </w:t>
            </w:r>
            <w:r w:rsidRPr="00DE32CF">
              <w:rPr>
                <w:rFonts w:cstheme="minorHAnsi"/>
                <w:bCs/>
                <w:sz w:val="24"/>
                <w:szCs w:val="24"/>
              </w:rPr>
              <w:t>Georges Re</w:t>
            </w:r>
            <w:r w:rsidR="00DE32CF" w:rsidRPr="00DE32CF">
              <w:rPr>
                <w:rFonts w:cstheme="minorHAnsi"/>
                <w:bCs/>
                <w:sz w:val="24"/>
                <w:szCs w:val="24"/>
              </w:rPr>
              <w:t>a</w:t>
            </w:r>
            <w:r w:rsidRPr="00DE32CF">
              <w:rPr>
                <w:rFonts w:cstheme="minorHAnsi"/>
                <w:bCs/>
                <w:sz w:val="24"/>
                <w:szCs w:val="24"/>
              </w:rPr>
              <w:t>d</w:t>
            </w:r>
            <w:r w:rsidR="00EB2873" w:rsidRPr="00DE32CF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772" w:type="dxa"/>
          </w:tcPr>
          <w:p w:rsidR="00FA6BF5" w:rsidRPr="00DE32CF" w:rsidRDefault="00FA6BF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FA6BF5" w:rsidRPr="00DE32CF" w:rsidRDefault="00FA6BF5" w:rsidP="00C27061">
            <w:pPr>
              <w:rPr>
                <w:rStyle w:val="lev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FA6BF5" w:rsidRPr="00C55ED3" w:rsidRDefault="00C55ED3" w:rsidP="00C27061">
            <w:pPr>
              <w:rPr>
                <w:rStyle w:val="lev"/>
                <w:rFonts w:cstheme="minorHAnsi"/>
                <w:b w:val="0"/>
                <w:sz w:val="24"/>
                <w:szCs w:val="24"/>
                <w:lang w:val="en-US"/>
              </w:rPr>
            </w:pPr>
            <w:r>
              <w:rPr>
                <w:rStyle w:val="lev"/>
                <w:rFonts w:cstheme="minorHAnsi"/>
                <w:b w:val="0"/>
                <w:sz w:val="24"/>
                <w:szCs w:val="24"/>
                <w:lang w:val="en-US"/>
              </w:rPr>
              <w:t>Denis Villeneuve</w:t>
            </w:r>
          </w:p>
        </w:tc>
      </w:tr>
    </w:tbl>
    <w:p w:rsidR="00530055" w:rsidRPr="00C55ED3" w:rsidRDefault="00530055" w:rsidP="00530055">
      <w:pPr>
        <w:pStyle w:val="Sansinterligne"/>
        <w:rPr>
          <w:rStyle w:val="lev"/>
          <w:rFonts w:cstheme="minorHAnsi"/>
          <w:i/>
          <w:sz w:val="24"/>
          <w:szCs w:val="24"/>
          <w:lang w:val="en-US"/>
        </w:rPr>
      </w:pPr>
    </w:p>
    <w:p w:rsidR="00086AD4" w:rsidRDefault="00086AD4" w:rsidP="00CE10BA">
      <w:pPr>
        <w:pStyle w:val="Sansinterligne"/>
        <w:jc w:val="right"/>
        <w:rPr>
          <w:rStyle w:val="lev"/>
          <w:rFonts w:cstheme="minorHAnsi"/>
          <w:b w:val="0"/>
          <w:sz w:val="24"/>
          <w:szCs w:val="24"/>
        </w:rPr>
      </w:pPr>
    </w:p>
    <w:p w:rsidR="00DF01EF" w:rsidRDefault="00DF01EF" w:rsidP="00CE10BA">
      <w:pPr>
        <w:pStyle w:val="Sansinterligne"/>
        <w:jc w:val="right"/>
        <w:rPr>
          <w:rStyle w:val="lev"/>
          <w:rFonts w:cstheme="minorHAnsi"/>
          <w:b w:val="0"/>
          <w:sz w:val="24"/>
          <w:szCs w:val="24"/>
        </w:rPr>
      </w:pPr>
      <w:bookmarkStart w:id="0" w:name="_GoBack"/>
      <w:bookmarkEnd w:id="0"/>
    </w:p>
    <w:sectPr w:rsidR="00DF01EF" w:rsidSect="003D33CA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B0" w:rsidRDefault="00A349B0">
      <w:pPr>
        <w:spacing w:after="0" w:line="240" w:lineRule="auto"/>
      </w:pPr>
      <w:r>
        <w:separator/>
      </w:r>
    </w:p>
  </w:endnote>
  <w:endnote w:type="continuationSeparator" w:id="0">
    <w:p w:rsidR="00A349B0" w:rsidRDefault="00A3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447799"/>
      <w:docPartObj>
        <w:docPartGallery w:val="Page Numbers (Bottom of Page)"/>
        <w:docPartUnique/>
      </w:docPartObj>
    </w:sdtPr>
    <w:sdtEndPr/>
    <w:sdtContent>
      <w:p w:rsidR="00CF64B7" w:rsidRDefault="00F650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A6" w:rsidRPr="00052FA6">
          <w:rPr>
            <w:noProof/>
            <w:lang w:val="fr-FR"/>
          </w:rPr>
          <w:t>3</w:t>
        </w:r>
        <w:r>
          <w:fldChar w:fldCharType="end"/>
        </w:r>
      </w:p>
    </w:sdtContent>
  </w:sdt>
  <w:p w:rsidR="00CF64B7" w:rsidRDefault="00A349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B0" w:rsidRDefault="00A349B0">
      <w:pPr>
        <w:spacing w:after="0" w:line="240" w:lineRule="auto"/>
      </w:pPr>
      <w:r>
        <w:separator/>
      </w:r>
    </w:p>
  </w:footnote>
  <w:footnote w:type="continuationSeparator" w:id="0">
    <w:p w:rsidR="00A349B0" w:rsidRDefault="00A3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FBC"/>
    <w:multiLevelType w:val="hybridMultilevel"/>
    <w:tmpl w:val="38160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E4B4C"/>
    <w:multiLevelType w:val="hybridMultilevel"/>
    <w:tmpl w:val="E18441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492C"/>
    <w:multiLevelType w:val="hybridMultilevel"/>
    <w:tmpl w:val="5C908E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4C3A"/>
    <w:multiLevelType w:val="hybridMultilevel"/>
    <w:tmpl w:val="4028B3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D30E5"/>
    <w:multiLevelType w:val="hybridMultilevel"/>
    <w:tmpl w:val="4028B3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55"/>
    <w:rsid w:val="000058CA"/>
    <w:rsid w:val="00043C2E"/>
    <w:rsid w:val="00043CEB"/>
    <w:rsid w:val="00052FA6"/>
    <w:rsid w:val="00054E4A"/>
    <w:rsid w:val="00072485"/>
    <w:rsid w:val="00086AD4"/>
    <w:rsid w:val="00096C70"/>
    <w:rsid w:val="00110643"/>
    <w:rsid w:val="001363A2"/>
    <w:rsid w:val="00141B03"/>
    <w:rsid w:val="00151D71"/>
    <w:rsid w:val="00166245"/>
    <w:rsid w:val="001B4D25"/>
    <w:rsid w:val="002F66FF"/>
    <w:rsid w:val="003372CE"/>
    <w:rsid w:val="003754CC"/>
    <w:rsid w:val="0039533E"/>
    <w:rsid w:val="003C3FFF"/>
    <w:rsid w:val="003D5B5E"/>
    <w:rsid w:val="003F76F8"/>
    <w:rsid w:val="00452C8D"/>
    <w:rsid w:val="0052076D"/>
    <w:rsid w:val="00530055"/>
    <w:rsid w:val="005379F2"/>
    <w:rsid w:val="005460C3"/>
    <w:rsid w:val="00550CD6"/>
    <w:rsid w:val="00575E5B"/>
    <w:rsid w:val="00585927"/>
    <w:rsid w:val="005906E3"/>
    <w:rsid w:val="00591163"/>
    <w:rsid w:val="005D34A4"/>
    <w:rsid w:val="005E25FF"/>
    <w:rsid w:val="005E33C2"/>
    <w:rsid w:val="005F79ED"/>
    <w:rsid w:val="00663FEC"/>
    <w:rsid w:val="00670D42"/>
    <w:rsid w:val="006A2397"/>
    <w:rsid w:val="007320D0"/>
    <w:rsid w:val="007612DE"/>
    <w:rsid w:val="00766F0D"/>
    <w:rsid w:val="00770611"/>
    <w:rsid w:val="007974FA"/>
    <w:rsid w:val="007E6DBE"/>
    <w:rsid w:val="00824E0F"/>
    <w:rsid w:val="008344BD"/>
    <w:rsid w:val="0087174F"/>
    <w:rsid w:val="008946BE"/>
    <w:rsid w:val="008C1228"/>
    <w:rsid w:val="008C442B"/>
    <w:rsid w:val="008F48BC"/>
    <w:rsid w:val="008F72DC"/>
    <w:rsid w:val="0094591B"/>
    <w:rsid w:val="0097375D"/>
    <w:rsid w:val="00A2484B"/>
    <w:rsid w:val="00A349B0"/>
    <w:rsid w:val="00A47161"/>
    <w:rsid w:val="00A501F4"/>
    <w:rsid w:val="00A51E62"/>
    <w:rsid w:val="00A543FC"/>
    <w:rsid w:val="00A54648"/>
    <w:rsid w:val="00AA0310"/>
    <w:rsid w:val="00AC66CF"/>
    <w:rsid w:val="00AC78AB"/>
    <w:rsid w:val="00B172F0"/>
    <w:rsid w:val="00B77DB1"/>
    <w:rsid w:val="00B87C75"/>
    <w:rsid w:val="00BA74E6"/>
    <w:rsid w:val="00BC48CF"/>
    <w:rsid w:val="00BE31D1"/>
    <w:rsid w:val="00C036A4"/>
    <w:rsid w:val="00C04C5C"/>
    <w:rsid w:val="00C33F6C"/>
    <w:rsid w:val="00C55ED3"/>
    <w:rsid w:val="00C9788B"/>
    <w:rsid w:val="00CE10BA"/>
    <w:rsid w:val="00CE337C"/>
    <w:rsid w:val="00D46090"/>
    <w:rsid w:val="00D4641C"/>
    <w:rsid w:val="00D614AE"/>
    <w:rsid w:val="00D84C28"/>
    <w:rsid w:val="00DA0DF6"/>
    <w:rsid w:val="00DE32CF"/>
    <w:rsid w:val="00DF01EF"/>
    <w:rsid w:val="00DF1392"/>
    <w:rsid w:val="00DF3294"/>
    <w:rsid w:val="00E01C9B"/>
    <w:rsid w:val="00E33C18"/>
    <w:rsid w:val="00E41314"/>
    <w:rsid w:val="00E618D6"/>
    <w:rsid w:val="00EB2873"/>
    <w:rsid w:val="00EC702D"/>
    <w:rsid w:val="00EC7700"/>
    <w:rsid w:val="00F5338E"/>
    <w:rsid w:val="00F6501E"/>
    <w:rsid w:val="00F92342"/>
    <w:rsid w:val="00F96194"/>
    <w:rsid w:val="00FA4188"/>
    <w:rsid w:val="00FA6BF5"/>
    <w:rsid w:val="00FD153C"/>
    <w:rsid w:val="00FD5D77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9947-D706-4E18-BDA3-EE888D04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55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30055"/>
    <w:rPr>
      <w:b/>
      <w:bCs/>
    </w:rPr>
  </w:style>
  <w:style w:type="paragraph" w:styleId="Sansinterligne">
    <w:name w:val="No Spacing"/>
    <w:uiPriority w:val="1"/>
    <w:qFormat/>
    <w:rsid w:val="0053005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3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300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055"/>
  </w:style>
  <w:style w:type="character" w:styleId="Lienhypertexte">
    <w:name w:val="Hyperlink"/>
    <w:basedOn w:val="Policepardfaut"/>
    <w:uiPriority w:val="99"/>
    <w:unhideWhenUsed/>
    <w:rsid w:val="0053005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50C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Proprio</dc:creator>
  <cp:keywords/>
  <dc:description/>
  <cp:lastModifiedBy>Compte Microsoft</cp:lastModifiedBy>
  <cp:revision>2</cp:revision>
  <dcterms:created xsi:type="dcterms:W3CDTF">2023-12-03T19:16:00Z</dcterms:created>
  <dcterms:modified xsi:type="dcterms:W3CDTF">2023-12-03T19:16:00Z</dcterms:modified>
</cp:coreProperties>
</file>